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附件</w:t>
      </w:r>
      <w:bookmarkStart w:id="0" w:name="_GoBack"/>
      <w:bookmarkEnd w:id="0"/>
    </w:p>
    <w:p>
      <w:pPr>
        <w:autoSpaceDE w:val="0"/>
        <w:spacing w:line="54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</w:p>
    <w:p>
      <w:pPr>
        <w:autoSpaceDE w:val="0"/>
        <w:spacing w:line="54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</w:p>
    <w:p>
      <w:pPr>
        <w:autoSpaceDE w:val="0"/>
        <w:spacing w:line="54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</w:p>
    <w:p>
      <w:pPr>
        <w:autoSpaceDE w:val="0"/>
        <w:spacing w:line="54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</w:p>
    <w:p>
      <w:pPr>
        <w:contextualSpacing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学科建设绩效自我评估表</w:t>
      </w:r>
    </w:p>
    <w:p>
      <w:pPr>
        <w:spacing w:line="580" w:lineRule="exact"/>
        <w:rPr>
          <w:rFonts w:ascii="Times New Roman" w:hAnsi="Times New Roman" w:eastAsia="仿宋"/>
          <w:sz w:val="44"/>
          <w:szCs w:val="44"/>
        </w:rPr>
      </w:pPr>
      <w:r>
        <w:rPr>
          <w:rFonts w:ascii="Times New Roman" w:hAnsi="Times New Roman" w:eastAsia="仿宋"/>
          <w:sz w:val="44"/>
          <w:szCs w:val="44"/>
        </w:rPr>
        <w:t xml:space="preserve"> </w:t>
      </w:r>
    </w:p>
    <w:p>
      <w:pPr>
        <w:spacing w:line="580" w:lineRule="exact"/>
        <w:rPr>
          <w:rFonts w:ascii="Times New Roman" w:hAnsi="Times New Roman" w:eastAsia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楷体_GBK" w:hAnsi="方正楷体_GBK" w:eastAsia="方正楷体_GBK" w:cs="方正楷体_GBK"/>
          <w:sz w:val="24"/>
          <w:szCs w:val="24"/>
        </w:rPr>
      </w:pP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单位名称：________________</w:t>
      </w: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学科名称：________________</w:t>
      </w: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学科类别：________________</w:t>
      </w: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培养层次：________________</w:t>
      </w: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学科门类：________________</w:t>
      </w:r>
    </w:p>
    <w:p>
      <w:pPr>
        <w:spacing w:line="360" w:lineRule="auto"/>
        <w:ind w:firstLine="1872" w:firstLineChars="518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</w:rPr>
        <w:t>学科负责人：_______________</w:t>
      </w:r>
    </w:p>
    <w:p>
      <w:pPr>
        <w:spacing w:line="360" w:lineRule="auto"/>
        <w:ind w:firstLine="1248" w:firstLineChars="518"/>
        <w:jc w:val="left"/>
        <w:rPr>
          <w:rFonts w:hint="eastAsia" w:ascii="方正楷体_GBK" w:hAnsi="方正楷体_GBK" w:eastAsia="方正楷体_GBK" w:cs="方正楷体_GBK"/>
          <w:b/>
          <w:bCs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ascii="Times New Roman" w:hAnsi="Times New Roman" w:eastAsia="仿宋"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ascii="Times New Roman" w:hAnsi="Times New Roman" w:eastAsia="仿宋"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ascii="Times New Roman" w:hAnsi="Times New Roman" w:eastAsia="仿宋"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ascii="Times New Roman" w:hAnsi="Times New Roman" w:eastAsia="仿宋"/>
          <w:kern w:val="0"/>
          <w:sz w:val="24"/>
          <w:szCs w:val="24"/>
        </w:rPr>
      </w:pPr>
    </w:p>
    <w:p>
      <w:pPr>
        <w:spacing w:line="360" w:lineRule="auto"/>
        <w:ind w:firstLine="1243" w:firstLineChars="518"/>
        <w:jc w:val="left"/>
        <w:rPr>
          <w:rFonts w:ascii="Times New Roman" w:hAnsi="Times New Roman" w:eastAsia="仿宋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tbl>
      <w:tblPr>
        <w:tblStyle w:val="3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80"/>
        <w:gridCol w:w="4330"/>
        <w:gridCol w:w="720"/>
        <w:gridCol w:w="70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 分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问题与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短板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人才培养</w:t>
            </w:r>
          </w:p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30%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思想政治教育成效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立德树人、思想政治教育的措施及成效，课程思政、专业思政、学科思政的措施及成效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培养过程质量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国家教学成果奖（项）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省级教学成果奖</w:t>
            </w:r>
          </w:p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其中：一等奖以上（项）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国家级一流课程、国家精品视频公开课、国家精品资源共享课（门）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科研育人成效（学生通过科研活动提升科研能力和学士素养的满意度和成长度）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国家专业综合改革试点专业、特色专业、“双万专业”数（个）（重复的只计算一个专业）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省优势、特色专业数（个）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通过国家专业认证、专业评估专业数（个）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国家级大学生创新创业训练计划项目数（个）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获得教育部深化创新创业教育改革示范高校称号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国家级规划教材（部）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中国“互联网+”大学生创新创业大赛等国家A类赛事获得一等奖数（项）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在校生质量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研究生学位论文抽检优良率（%）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学生在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三类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及以上期刊发表论文数（篇）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研究生以第一作者在SCI、SSCI、EI、EDLINE、A&amp;HCI 、CSCD、CSSCI收录期刊及在二类及以上期刊发表论文数（篇）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授予学位数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一级学科博士点或博士专业学位类别数（个）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一级学科硕士点或硕士专业学位类别数（个）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毕业生质量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本科生读研率（%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学生就业质量（总体就业质量、优秀毕业生）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用人单位评价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人才培养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国际化</w:t>
            </w: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出国（境）交流（3个月及以上）学生占比（%）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学历留学生数（人）</w:t>
            </w:r>
          </w:p>
        </w:tc>
        <w:tc>
          <w:tcPr>
            <w:tcW w:w="7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52" w:tblpY="16"/>
        <w:tblOverlap w:val="never"/>
        <w:tblW w:w="94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80"/>
        <w:gridCol w:w="3955"/>
        <w:gridCol w:w="770"/>
        <w:gridCol w:w="900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 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问题与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短板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师资队伍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师德师风建设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师德师风机制建设的体制机制、总体情况、正面典型、负面事件处理情况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教师队伍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结构质量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专任教师总数（人）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其中：国家级人才（人）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其中：省级人才（人）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博士学位教师占比（%）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45周岁以下青年教师占比（%）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具有海外学习经历教师占比（%）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国家级创新团队数（个）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省部级创新团队数（个）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师资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队伍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国际化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3个月及以上出国（境）访学（研修）教师占比（%）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其中：6个月及以上占比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其中：1年及以上占比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聘请外国专家人数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人才引进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人才引进的措施及成效，人才引进成功的典型案例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支撑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平台建设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（10%）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教学平台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国家教学平台（个）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省级教学平台数（个）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国家级教学改革项目（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科研平台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国家级科研创新平台数（个）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省部级科研创新平台数（个）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科学研究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（20%）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科研项目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与经费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主持国家级科研项目数（项）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其中：重点、重大项目数（项）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主持省部级科研项目数（项）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其中：重点、重大项目数（项）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师均科研经费（万元）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科研成果</w:t>
            </w:r>
          </w:p>
        </w:tc>
        <w:tc>
          <w:tcPr>
            <w:tcW w:w="3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在SCI、SSCI、EI、MEDLINE、A&amp;HCI、CSCD、CSSCI收录期刊发表论文数（篇）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A类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期刊论文数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SCI top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收录期刊论文数（篇）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出版著作（部）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授权发明专利（件）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及师均授权专利数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本学科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具有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原创性、突破性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和前沿性的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标志性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成果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，说明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其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转化应用和解决实际问题的情况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352" w:tblpY="16"/>
        <w:tblOverlap w:val="never"/>
        <w:tblW w:w="94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80"/>
        <w:gridCol w:w="4176"/>
        <w:gridCol w:w="735"/>
        <w:gridCol w:w="714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 分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得分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问题与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短板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科学研究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（20%）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成果奖励</w:t>
            </w: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获国家级成果奖励（项）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获省部级成果奖励（项）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其中：一等奖（项）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获得得到社会广泛认可的国家级行业学会等社会奖励（项）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其中：一等奖（项）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重要国际奖励（项）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对外交流合作</w:t>
            </w: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国际科研合作项目数（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国际科研合作平台数（个）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主办国际学术会议（次）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参加国际学术会议人次（次）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社会服务与学科声誉（30%）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社会服务</w:t>
            </w: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学科定位与特色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横向课题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（10万元以上）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到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帐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经费（万元）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横向课题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（10万元以上）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项目数（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省部级以上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产学研平台（个）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科技成果转化收入（万元）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获得重要批示的报告、参与重大政策制定、参与重大规划编制、提供行业标准咨询等情况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开展扶贫攻坚和对口帮扶及其他社会服务的优秀案例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学术兼职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学科排名</w:t>
            </w:r>
          </w:p>
        </w:tc>
        <w:tc>
          <w:tcPr>
            <w:tcW w:w="4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在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国内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重要学术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行业组织担任重要职务的人数（人）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176" w:type="dxa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在国际学术组织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担任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重要职务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人数（人）</w:t>
            </w:r>
          </w:p>
          <w:p>
            <w:pPr>
              <w:snapToGrid w:val="0"/>
              <w:jc w:val="left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0"/>
          <w:sz w:val="24"/>
          <w:szCs w:val="24"/>
          <w:lang w:eastAsia="zh-CN"/>
        </w:rPr>
        <w:t>备注</w:t>
      </w:r>
      <w:r>
        <w:rPr>
          <w:rFonts w:hint="eastAsia" w:ascii="方正黑体_GBK" w:hAnsi="方正黑体_GBK" w:eastAsia="方正黑体_GBK" w:cs="方正黑体_GBK"/>
          <w:kern w:val="0"/>
          <w:sz w:val="24"/>
          <w:szCs w:val="24"/>
        </w:rPr>
        <w:t>：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4"/>
        </w:rPr>
        <w:t>本表中涉及</w:t>
      </w:r>
      <w:r>
        <w:rPr>
          <w:rFonts w:hint="eastAsia" w:ascii="方正仿宋_GBK" w:hAnsi="方正仿宋_GBK" w:eastAsia="方正仿宋_GBK" w:cs="方正仿宋_GBK"/>
          <w:b/>
          <w:sz w:val="24"/>
        </w:rPr>
        <w:t>过程信息</w:t>
      </w:r>
      <w:r>
        <w:rPr>
          <w:rFonts w:hint="eastAsia" w:ascii="方正仿宋_GBK" w:hAnsi="方正仿宋_GBK" w:eastAsia="方正仿宋_GBK" w:cs="方正仿宋_GBK"/>
          <w:sz w:val="24"/>
        </w:rPr>
        <w:t>的数据（如科研获奖、学术论文、科研项目等），统计</w:t>
      </w:r>
      <w:r>
        <w:rPr>
          <w:rFonts w:hint="eastAsia" w:ascii="方正仿宋_GBK" w:hAnsi="方正仿宋_GBK" w:eastAsia="方正仿宋_GBK" w:cs="方正仿宋_GBK"/>
          <w:b/>
          <w:sz w:val="24"/>
        </w:rPr>
        <w:t>时间段</w:t>
      </w:r>
      <w:r>
        <w:rPr>
          <w:rFonts w:hint="eastAsia" w:ascii="方正仿宋_GBK" w:hAnsi="方正仿宋_GBK" w:eastAsia="方正仿宋_GBK" w:cs="方正仿宋_GBK"/>
          <w:sz w:val="24"/>
        </w:rPr>
        <w:t>均为2016年1月1日至2019年1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</w:rPr>
        <w:t>月31日；涉及</w:t>
      </w:r>
      <w:r>
        <w:rPr>
          <w:rFonts w:hint="eastAsia" w:ascii="方正仿宋_GBK" w:hAnsi="方正仿宋_GBK" w:eastAsia="方正仿宋_GBK" w:cs="方正仿宋_GBK"/>
          <w:b/>
          <w:sz w:val="24"/>
        </w:rPr>
        <w:t>状态信息</w:t>
      </w:r>
      <w:r>
        <w:rPr>
          <w:rFonts w:hint="eastAsia" w:ascii="方正仿宋_GBK" w:hAnsi="方正仿宋_GBK" w:eastAsia="方正仿宋_GBK" w:cs="方正仿宋_GBK"/>
          <w:sz w:val="24"/>
        </w:rPr>
        <w:t>的数据（如专任教师数、在校生数、重点实验室数、年龄等），统计</w:t>
      </w:r>
      <w:r>
        <w:rPr>
          <w:rFonts w:hint="eastAsia" w:ascii="方正仿宋_GBK" w:hAnsi="方正仿宋_GBK" w:eastAsia="方正仿宋_GBK" w:cs="方正仿宋_GBK"/>
          <w:b/>
          <w:sz w:val="24"/>
        </w:rPr>
        <w:t>时间点</w:t>
      </w:r>
      <w:r>
        <w:rPr>
          <w:rFonts w:hint="eastAsia" w:ascii="方正仿宋_GBK" w:hAnsi="方正仿宋_GBK" w:eastAsia="方正仿宋_GBK" w:cs="方正仿宋_GBK"/>
          <w:sz w:val="24"/>
        </w:rPr>
        <w:t>均为2019年8月31日。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2.</w:t>
      </w:r>
      <w:r>
        <w:rPr>
          <w:rFonts w:hint="eastAsia" w:ascii="方正仿宋_GBK" w:hAnsi="方正仿宋_GBK" w:eastAsia="方正仿宋_GBK" w:cs="方正仿宋_GBK"/>
          <w:sz w:val="24"/>
        </w:rPr>
        <w:t>国家级一流课程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包括</w:t>
      </w:r>
      <w:r>
        <w:rPr>
          <w:rFonts w:hint="eastAsia" w:ascii="方正仿宋_GBK" w:hAnsi="方正仿宋_GBK" w:eastAsia="方正仿宋_GBK" w:cs="方正仿宋_GBK"/>
          <w:sz w:val="24"/>
        </w:rPr>
        <w:t>国家级线上、线下、线上线下混合式、虚拟仿真实验教学、社会实践等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；国家级教学改革项目国家级包括“六卓越一拔尖”教育培养计划、优秀基层教学组织建设、新工科研究与实践项目、产学合作协同育人项目等；国家教学平台包括国家级实验教学示范中心、国家临床教学培训示范中心、基础学科拔尖学生培养基地等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3.</w:t>
      </w:r>
      <w:r>
        <w:rPr>
          <w:rFonts w:hint="eastAsia" w:ascii="方正仿宋_GBK" w:hAnsi="方正仿宋_GBK" w:eastAsia="方正仿宋_GBK" w:cs="方正仿宋_GBK"/>
          <w:sz w:val="24"/>
        </w:rPr>
        <w:t>学科自评表中的教师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、成果</w:t>
      </w:r>
      <w:r>
        <w:rPr>
          <w:rFonts w:hint="eastAsia" w:ascii="方正仿宋_GBK" w:hAnsi="方正仿宋_GBK" w:eastAsia="方正仿宋_GBK" w:cs="方正仿宋_GBK"/>
          <w:sz w:val="24"/>
        </w:rPr>
        <w:t>可参照第四轮学科评估要求确定其归属。</w:t>
      </w:r>
    </w:p>
    <w:p>
      <w:pPr>
        <w:adjustRightInd w:val="0"/>
        <w:snapToGrid w:val="0"/>
        <w:spacing w:line="380" w:lineRule="exact"/>
        <w:rPr>
          <w:rFonts w:hint="eastAsia" w:ascii="Times New Roman" w:hAnsi="Times New Roman" w:eastAsia="仿宋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4.</w:t>
      </w:r>
      <w:r>
        <w:rPr>
          <w:rFonts w:hint="eastAsia" w:ascii="方正仿宋_GBK" w:hAnsi="方正仿宋_GBK" w:eastAsia="方正仿宋_GBK" w:cs="方正仿宋_GBK"/>
          <w:sz w:val="24"/>
        </w:rPr>
        <w:t>学科自评表中“学生”均包含本科生。</w:t>
      </w:r>
    </w:p>
    <w:p/>
    <w:sectPr>
      <w:footerReference r:id="rId5" w:type="default"/>
      <w:pgSz w:w="11906" w:h="16838"/>
      <w:pgMar w:top="1928" w:right="1531" w:bottom="1928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1B35"/>
    <w:rsid w:val="01737363"/>
    <w:rsid w:val="06A766A8"/>
    <w:rsid w:val="08566806"/>
    <w:rsid w:val="0A07127C"/>
    <w:rsid w:val="2E6674CB"/>
    <w:rsid w:val="414463A9"/>
    <w:rsid w:val="438A66AA"/>
    <w:rsid w:val="4AD13FF6"/>
    <w:rsid w:val="4C10740B"/>
    <w:rsid w:val="592A0BA7"/>
    <w:rsid w:val="5ED01B35"/>
    <w:rsid w:val="65C40E78"/>
    <w:rsid w:val="69281AAF"/>
    <w:rsid w:val="6A7F4CF1"/>
    <w:rsid w:val="72B84482"/>
    <w:rsid w:val="73AC0731"/>
    <w:rsid w:val="7E8F6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2019-12-03T02:58:00Z</dcterms:created>
  <dc:creator>gyb1</dc:creator>
  <cp:lastModifiedBy>王安珏</cp:lastModifiedBy>
  <cp:lastPrinted>2019-12-03T08:59:00Z</cp:lastPrinted>
  <dcterms:modified xsi:type="dcterms:W3CDTF">2020-03-16T03:50:56Z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