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bCs/>
          <w:sz w:val="40"/>
          <w:szCs w:val="40"/>
        </w:rPr>
      </w:pPr>
    </w:p>
    <w:p>
      <w:pPr>
        <w:spacing w:line="360" w:lineRule="auto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安徽医科</w:t>
      </w:r>
      <w:r>
        <w:rPr>
          <w:rFonts w:ascii="黑体" w:hAnsi="黑体" w:eastAsia="黑体"/>
          <w:b/>
          <w:bCs/>
          <w:sz w:val="44"/>
          <w:szCs w:val="44"/>
        </w:rPr>
        <w:t>大学优秀研究生</w:t>
      </w:r>
      <w:r>
        <w:rPr>
          <w:rFonts w:hint="eastAsia" w:ascii="黑体" w:hAnsi="黑体" w:eastAsia="黑体"/>
          <w:b/>
          <w:bCs/>
          <w:sz w:val="44"/>
          <w:szCs w:val="44"/>
        </w:rPr>
        <w:t>导</w:t>
      </w:r>
      <w:r>
        <w:rPr>
          <w:rFonts w:ascii="黑体" w:hAnsi="黑体" w:eastAsia="黑体"/>
          <w:b/>
          <w:bCs/>
          <w:sz w:val="44"/>
          <w:szCs w:val="44"/>
        </w:rPr>
        <w:t>师</w:t>
      </w:r>
      <w:r>
        <w:rPr>
          <w:rFonts w:hint="eastAsia" w:ascii="黑体" w:hAnsi="黑体" w:eastAsia="黑体"/>
          <w:b/>
          <w:bCs/>
          <w:sz w:val="44"/>
          <w:szCs w:val="44"/>
        </w:rPr>
        <w:t>推荐</w:t>
      </w:r>
    </w:p>
    <w:p>
      <w:pPr>
        <w:spacing w:line="360" w:lineRule="auto"/>
        <w:jc w:val="center"/>
        <w:rPr>
          <w:rFonts w:ascii="黑体" w:hAnsi="黑体" w:eastAsia="黑体"/>
          <w:b/>
          <w:bCs/>
          <w:sz w:val="40"/>
          <w:szCs w:val="40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成果列表</w:t>
      </w:r>
    </w:p>
    <w:p>
      <w:pPr>
        <w:rPr>
          <w:rFonts w:ascii="黑体" w:hAnsi="黑体" w:eastAsia="黑体"/>
          <w:b/>
          <w:bCs/>
          <w:sz w:val="30"/>
          <w:szCs w:val="30"/>
        </w:rPr>
      </w:pPr>
    </w:p>
    <w:p>
      <w:pPr>
        <w:rPr>
          <w:rFonts w:ascii="黑体" w:hAnsi="黑体" w:eastAsia="黑体"/>
          <w:b/>
          <w:bCs/>
          <w:sz w:val="30"/>
          <w:szCs w:val="30"/>
        </w:rPr>
      </w:pPr>
    </w:p>
    <w:p>
      <w:pPr>
        <w:rPr>
          <w:rFonts w:ascii="黑体" w:hAnsi="黑体" w:eastAsia="黑体"/>
          <w:b/>
          <w:bCs/>
          <w:sz w:val="30"/>
          <w:szCs w:val="30"/>
        </w:rPr>
      </w:pPr>
    </w:p>
    <w:p>
      <w:pPr>
        <w:rPr>
          <w:rFonts w:ascii="黑体" w:hAnsi="黑体" w:eastAsia="黑体"/>
          <w:b/>
          <w:bCs/>
          <w:sz w:val="30"/>
          <w:szCs w:val="30"/>
        </w:rPr>
      </w:pPr>
    </w:p>
    <w:tbl>
      <w:tblPr>
        <w:tblStyle w:val="3"/>
        <w:tblW w:w="0" w:type="auto"/>
        <w:tblInd w:w="15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0"/>
        <w:gridCol w:w="3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90" w:type="dxa"/>
          </w:tcPr>
          <w:p>
            <w:pPr>
              <w:jc w:val="distribute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导师姓名：</w:t>
            </w:r>
          </w:p>
        </w:tc>
        <w:tc>
          <w:tcPr>
            <w:tcW w:w="3020" w:type="dxa"/>
          </w:tcPr>
          <w:p>
            <w:pPr>
              <w:jc w:val="center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王建青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690" w:type="dxa"/>
          </w:tcPr>
          <w:p>
            <w:pPr>
              <w:jc w:val="distribute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学科专业：</w:t>
            </w:r>
          </w:p>
        </w:tc>
        <w:tc>
          <w:tcPr>
            <w:tcW w:w="3020" w:type="dxa"/>
          </w:tcPr>
          <w:p>
            <w:pPr>
              <w:jc w:val="center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药理学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690" w:type="dxa"/>
          </w:tcPr>
          <w:p>
            <w:pPr>
              <w:jc w:val="center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职</w:t>
            </w:r>
            <w:r>
              <w:rPr>
                <w:rFonts w:ascii="黑体" w:hAnsi="黑体" w:eastAsia="黑体"/>
                <w:b/>
                <w:bCs/>
                <w:sz w:val="32"/>
                <w:szCs w:val="32"/>
              </w:rPr>
              <w:t xml:space="preserve">        </w:t>
            </w: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称</w:t>
            </w:r>
            <w:r>
              <w:rPr>
                <w:rFonts w:ascii="黑体" w:hAnsi="黑体" w:eastAsia="黑体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3020" w:type="dxa"/>
          </w:tcPr>
          <w:p>
            <w:pPr>
              <w:jc w:val="center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主任药师、教授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690" w:type="dxa"/>
          </w:tcPr>
          <w:p>
            <w:pPr>
              <w:jc w:val="distribute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导师类型：</w:t>
            </w:r>
          </w:p>
        </w:tc>
        <w:tc>
          <w:tcPr>
            <w:tcW w:w="3020" w:type="dxa"/>
          </w:tcPr>
          <w:p>
            <w:pPr>
              <w:jc w:val="center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博士生导师</w:t>
            </w:r>
            <w:r>
              <w:rPr>
                <w:rFonts w:ascii="黑体" w:hAnsi="黑体" w:eastAsia="黑体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  <w:t>学术型</w:t>
            </w:r>
          </w:p>
        </w:tc>
      </w:tr>
    </w:tbl>
    <w:p>
      <w:pPr>
        <w:jc w:val="center"/>
        <w:rPr>
          <w:rFonts w:ascii="黑体" w:hAnsi="黑体" w:eastAsia="黑体"/>
          <w:b/>
          <w:bCs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2021年10月28日</w:t>
      </w:r>
    </w:p>
    <w:p>
      <w:pPr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</w:p>
    <w:p>
      <w:pPr>
        <w:jc w:val="center"/>
        <w:rPr>
          <w:rFonts w:cs="Times New Roman" w:asciiTheme="minorEastAsia" w:hAnsiTheme="minorEastAsia"/>
          <w:b/>
          <w:bCs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</w:rPr>
        <w:t>成果列表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近两年来导师科研情况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主持</w:t>
      </w:r>
      <w:r>
        <w:rPr>
          <w:rFonts w:ascii="宋体" w:hAnsi="宋体" w:eastAsia="宋体" w:cs="Times New Roman"/>
          <w:b/>
          <w:bCs/>
          <w:sz w:val="24"/>
        </w:rPr>
        <w:t>国家级或省级课题情况</w:t>
      </w:r>
    </w:p>
    <w:p>
      <w:pPr>
        <w:pStyle w:val="5"/>
        <w:numPr>
          <w:ilvl w:val="0"/>
          <w:numId w:val="3"/>
        </w:numPr>
        <w:spacing w:line="360" w:lineRule="auto"/>
        <w:ind w:left="704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国家自然科学基金委员会，面上项目，82073566，胎盘外泌体H19 在孕期PAEs 暴露致妊娠期肝内胆汁淤积中的作用，2021-01至2024-12，56 万元，在研，主持。</w:t>
      </w:r>
    </w:p>
    <w:p>
      <w:pPr>
        <w:pStyle w:val="5"/>
        <w:numPr>
          <w:ilvl w:val="0"/>
          <w:numId w:val="3"/>
        </w:numPr>
        <w:spacing w:line="360" w:lineRule="auto"/>
        <w:ind w:left="704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安徽省高校优秀青年人才支持计划项目，gxyq2019014，内质网应激感受器IRE1α干扰铁代谢在肝纤维化过程中的作用，2019-01至至今，3 万元，在研，主持。</w:t>
      </w:r>
    </w:p>
    <w:p>
      <w:pPr>
        <w:pStyle w:val="5"/>
        <w:numPr>
          <w:ilvl w:val="0"/>
          <w:numId w:val="3"/>
        </w:numPr>
        <w:spacing w:line="360" w:lineRule="auto"/>
        <w:ind w:left="704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安徽省高等学校省级质量工程项目，2020xsxxkc246，《临床药物治疗学》，2021.01至至今，3万元，主持，在研。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（2）发表SCI或核心期刊论文情况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b/>
          <w:bCs/>
          <w:szCs w:val="21"/>
        </w:rPr>
        <w:t>Wang Jianqing(</w:t>
      </w:r>
      <w:r>
        <w:rPr>
          <w:rFonts w:hint="eastAsia" w:ascii="Times New Roman" w:hAnsi="Times New Roman" w:eastAsia="黑体" w:cs="Times New Roman"/>
          <w:b/>
          <w:bCs/>
          <w:szCs w:val="21"/>
        </w:rPr>
        <w:t>王建青</w:t>
      </w:r>
      <w:r>
        <w:rPr>
          <w:rFonts w:ascii="Times New Roman" w:hAnsi="Times New Roman" w:eastAsia="黑体" w:cs="Times New Roman"/>
          <w:b/>
          <w:bCs/>
          <w:szCs w:val="21"/>
        </w:rPr>
        <w:t>)</w:t>
      </w:r>
      <w:r>
        <w:rPr>
          <w:rFonts w:ascii="Times New Roman" w:hAnsi="Times New Roman" w:eastAsia="黑体" w:cs="Times New Roman"/>
          <w:szCs w:val="21"/>
        </w:rPr>
        <w:t>; Hu Yabin; Gao Hui; et al; Sex-specific difference in placental inflammatory transcriptional biomarkers of maternal phthalate exposure: a prospective cohort study, Journal of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Exposure Science and Environmental Epidemiology, 2020, 30(5): 835-844. IF=</w:t>
      </w:r>
      <w:r>
        <w:rPr>
          <w:rFonts w:hint="default" w:ascii="Times New Roman" w:hAnsi="Times New Roman" w:eastAsia="黑体" w:cs="Times New Roman"/>
          <w:szCs w:val="21"/>
          <w:lang w:val="en-US"/>
        </w:rPr>
        <w:t>5.563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b/>
          <w:bCs/>
          <w:szCs w:val="21"/>
        </w:rPr>
        <w:t>Wang Jianqing(</w:t>
      </w:r>
      <w:r>
        <w:rPr>
          <w:rFonts w:hint="eastAsia" w:ascii="Times New Roman" w:hAnsi="Times New Roman" w:eastAsia="黑体" w:cs="Times New Roman"/>
          <w:b/>
          <w:bCs/>
          <w:szCs w:val="21"/>
        </w:rPr>
        <w:t>王建青</w:t>
      </w:r>
      <w:r>
        <w:rPr>
          <w:rFonts w:ascii="Times New Roman" w:hAnsi="Times New Roman" w:eastAsia="黑体" w:cs="Times New Roman"/>
          <w:b/>
          <w:bCs/>
          <w:szCs w:val="21"/>
        </w:rPr>
        <w:t>)</w:t>
      </w:r>
      <w:r>
        <w:rPr>
          <w:rFonts w:ascii="Times New Roman" w:hAnsi="Times New Roman" w:eastAsia="黑体" w:cs="Times New Roman"/>
          <w:szCs w:val="21"/>
        </w:rPr>
        <w:t>; Hu Yabin; Liang Chunmei; et al; Aluminum and Magnesium Status during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Pregnancy and Placenta Oxidative Stress and Inflammatory mRNA Expression—China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Ma’anshan Birth Cohort Study, Environmental Geochemistry and Health, 2020, 42(11):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3887-3898. IF=</w:t>
      </w:r>
      <w:r>
        <w:rPr>
          <w:rFonts w:hint="default" w:ascii="Times New Roman" w:hAnsi="Times New Roman" w:eastAsia="黑体" w:cs="Times New Roman"/>
          <w:szCs w:val="21"/>
          <w:lang w:val="en-US"/>
        </w:rPr>
        <w:t>4.609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b/>
          <w:bCs/>
          <w:szCs w:val="21"/>
        </w:rPr>
        <w:t>Wang Jianqing(</w:t>
      </w:r>
      <w:r>
        <w:rPr>
          <w:rFonts w:hint="eastAsia" w:ascii="Times New Roman" w:hAnsi="Times New Roman" w:eastAsia="黑体" w:cs="Times New Roman"/>
          <w:b/>
          <w:bCs/>
          <w:szCs w:val="21"/>
        </w:rPr>
        <w:t>王建青</w:t>
      </w:r>
      <w:r>
        <w:rPr>
          <w:rFonts w:ascii="Times New Roman" w:hAnsi="Times New Roman" w:eastAsia="黑体" w:cs="Times New Roman"/>
          <w:b/>
          <w:bCs/>
          <w:szCs w:val="21"/>
        </w:rPr>
        <w:t>)</w:t>
      </w:r>
      <w:r>
        <w:rPr>
          <w:rFonts w:ascii="Times New Roman" w:hAnsi="Times New Roman" w:eastAsia="黑体" w:cs="Times New Roman"/>
          <w:szCs w:val="21"/>
        </w:rPr>
        <w:t>; Gao Hui; Sheng Jie; et al; Urinary concentrations of phthalate metabolites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during gestation and intrahepatic cholestasis of pregnancy: a population-based birth cohort study,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Environmental Science and Pollution Research, 2020, 27(11): 11714-11723. IF=</w:t>
      </w:r>
      <w:r>
        <w:rPr>
          <w:rFonts w:hint="default" w:ascii="Times New Roman" w:hAnsi="Times New Roman" w:eastAsia="黑体" w:cs="Times New Roman"/>
          <w:szCs w:val="21"/>
          <w:lang w:val="en-US"/>
        </w:rPr>
        <w:t>4.223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 xml:space="preserve">Yu Jun; </w:t>
      </w:r>
      <w:r>
        <w:rPr>
          <w:rFonts w:ascii="Times New Roman" w:hAnsi="Times New Roman" w:eastAsia="黑体" w:cs="Times New Roman"/>
          <w:b/>
          <w:bCs/>
          <w:szCs w:val="21"/>
        </w:rPr>
        <w:t>Wang Jianqing*(</w:t>
      </w:r>
      <w:r>
        <w:rPr>
          <w:rFonts w:hint="eastAsia" w:ascii="Times New Roman" w:hAnsi="Times New Roman" w:eastAsia="黑体" w:cs="Times New Roman"/>
          <w:b/>
          <w:bCs/>
          <w:szCs w:val="21"/>
        </w:rPr>
        <w:t>王建青，通讯作者</w:t>
      </w:r>
      <w:r>
        <w:rPr>
          <w:rFonts w:ascii="Times New Roman" w:hAnsi="Times New Roman" w:eastAsia="黑体" w:cs="Times New Roman"/>
          <w:b/>
          <w:bCs/>
          <w:szCs w:val="21"/>
        </w:rPr>
        <w:t>)</w:t>
      </w:r>
      <w:r>
        <w:rPr>
          <w:rFonts w:ascii="Times New Roman" w:hAnsi="Times New Roman" w:eastAsia="黑体" w:cs="Times New Roman"/>
          <w:szCs w:val="21"/>
        </w:rPr>
        <w:t>; Research mechanisms of and pharmaceutical treatments for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ferroptosis in liver diseases, Biochimie, 2020, 180:149-157. IF=</w:t>
      </w:r>
      <w:r>
        <w:rPr>
          <w:rFonts w:hint="default" w:ascii="Times New Roman" w:hAnsi="Times New Roman" w:eastAsia="黑体" w:cs="Times New Roman"/>
          <w:szCs w:val="21"/>
          <w:lang w:val="en-US"/>
        </w:rPr>
        <w:t>4.079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 xml:space="preserve">Deng Ya#; Liu Wanjun#; </w:t>
      </w:r>
      <w:r>
        <w:rPr>
          <w:rFonts w:ascii="Times New Roman" w:hAnsi="Times New Roman" w:eastAsia="黑体" w:cs="Times New Roman"/>
          <w:b/>
          <w:bCs/>
          <w:szCs w:val="21"/>
        </w:rPr>
        <w:t>Wang Jianqing#(</w:t>
      </w:r>
      <w:r>
        <w:rPr>
          <w:rFonts w:hint="eastAsia" w:ascii="Times New Roman" w:hAnsi="Times New Roman" w:eastAsia="黑体" w:cs="Times New Roman"/>
          <w:b/>
          <w:bCs/>
          <w:szCs w:val="21"/>
        </w:rPr>
        <w:t>王建青，共同第一作者</w:t>
      </w:r>
      <w:r>
        <w:rPr>
          <w:rFonts w:ascii="Times New Roman" w:hAnsi="Times New Roman" w:eastAsia="黑体" w:cs="Times New Roman"/>
          <w:b/>
          <w:bCs/>
          <w:szCs w:val="21"/>
        </w:rPr>
        <w:t>)</w:t>
      </w:r>
      <w:r>
        <w:rPr>
          <w:rFonts w:ascii="Times New Roman" w:hAnsi="Times New Roman" w:eastAsia="黑体" w:cs="Times New Roman"/>
          <w:szCs w:val="21"/>
        </w:rPr>
        <w:t>; Yu Jun; Yang Liqi*; Intermittent Fasting Improves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Lipid Metabolism Through Changes in Gut Microbiota in Diet-Induced Obese Mice, Medical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Science Monitor: International Medical Journal of Experimental and Clinical Research, 2020, 26:</w:t>
      </w:r>
      <w:r>
        <w:rPr>
          <w:rFonts w:hint="eastAsia" w:ascii="Times New Roman" w:hAnsi="Times New Roman" w:eastAsia="黑体" w:cs="Times New Roman"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>e926789. IF=</w:t>
      </w:r>
      <w:r>
        <w:rPr>
          <w:rFonts w:hint="default" w:ascii="Times New Roman" w:hAnsi="Times New Roman" w:eastAsia="黑体" w:cs="Times New Roman"/>
          <w:szCs w:val="21"/>
          <w:lang w:val="en-US"/>
        </w:rPr>
        <w:t>2.649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王建青</w:t>
      </w:r>
      <w:r>
        <w:rPr>
          <w:rFonts w:ascii="Times New Roman" w:hAnsi="Times New Roman" w:cs="Times New Roman"/>
          <w:szCs w:val="21"/>
        </w:rPr>
        <w:t>; 赵辉; 孙晓青; 金涌; 吕雄文; 李俊*; 药物治疗管理教学模式的探讨, 中国医院药学杂志, 2020, 40(11):1252-1256.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代雪飞; </w:t>
      </w:r>
      <w:r>
        <w:rPr>
          <w:rFonts w:ascii="Times New Roman" w:hAnsi="Times New Roman" w:cs="Times New Roman"/>
          <w:b/>
          <w:bCs/>
          <w:szCs w:val="21"/>
        </w:rPr>
        <w:t>王建青*</w:t>
      </w:r>
      <w:r>
        <w:rPr>
          <w:rFonts w:ascii="Times New Roman" w:hAnsi="Times New Roman" w:cs="Times New Roman"/>
          <w:szCs w:val="21"/>
        </w:rPr>
        <w:t>; 药品说明书中妊娠及哺乳期用药信息标注情况调查, 安徽医药, 2020, 24(08): 1669-1674.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王建青</w:t>
      </w:r>
      <w:r>
        <w:rPr>
          <w:rFonts w:ascii="Times New Roman" w:hAnsi="Times New Roman" w:cs="Times New Roman"/>
          <w:szCs w:val="21"/>
        </w:rPr>
        <w:t>; 方圆圆; 吴亚; 陈彦辉; 杨利琦*; UPLC-MS/MS 法测定儿童血浆中头孢呋辛的浓度, 中国医院药学杂志, 2019, 39(8): 796-799.</w:t>
      </w:r>
    </w:p>
    <w:p>
      <w:pPr>
        <w:pStyle w:val="5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王建青</w:t>
      </w:r>
      <w:r>
        <w:rPr>
          <w:rFonts w:ascii="Times New Roman" w:hAnsi="Times New Roman" w:cs="Times New Roman"/>
          <w:szCs w:val="21"/>
        </w:rPr>
        <w:t>; 杨利琦*; 某综合医院儿科抗菌药物干预效果分析, 安徽医学, 2019, 40(4): 389-392.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2</w:t>
      </w:r>
      <w:r>
        <w:rPr>
          <w:rFonts w:ascii="Times New Roman" w:hAnsi="Times New Roman" w:cs="Times New Roman"/>
          <w:b/>
          <w:bCs/>
          <w:sz w:val="24"/>
        </w:rPr>
        <w:t xml:space="preserve">. </w:t>
      </w:r>
      <w:r>
        <w:rPr>
          <w:rFonts w:hint="eastAsia" w:ascii="Times New Roman" w:hAnsi="Times New Roman" w:cs="Times New Roman"/>
          <w:b/>
          <w:bCs/>
          <w:sz w:val="24"/>
        </w:rPr>
        <w:t>近年来指导研究生获得成绩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（1）研究生以第一作者发表SCI论文、核心或统计源期刊论文情况</w:t>
      </w:r>
    </w:p>
    <w:p>
      <w:pPr>
        <w:pStyle w:val="5"/>
        <w:numPr>
          <w:ilvl w:val="0"/>
          <w:numId w:val="5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Chen Qianqian</w:t>
      </w:r>
      <w:r>
        <w:rPr>
          <w:rFonts w:ascii="Times New Roman" w:hAnsi="Times New Roman" w:cs="Times New Roman"/>
          <w:szCs w:val="21"/>
        </w:rPr>
        <w:t>#</w:t>
      </w:r>
      <w:r>
        <w:rPr>
          <w:rFonts w:hint="eastAsia" w:ascii="Times New Roman" w:hAnsi="Times New Roman" w:cs="Times New Roman"/>
          <w:b/>
          <w:bCs/>
          <w:szCs w:val="21"/>
        </w:rPr>
        <w:t>（陈倩倩）</w:t>
      </w:r>
      <w:r>
        <w:rPr>
          <w:rFonts w:ascii="Times New Roman" w:hAnsi="Times New Roman" w:cs="Times New Roman"/>
          <w:szCs w:val="21"/>
        </w:rPr>
        <w:t xml:space="preserve">; Zhang Cheng#; </w:t>
      </w:r>
      <w:r>
        <w:rPr>
          <w:rFonts w:ascii="Times New Roman" w:hAnsi="Times New Roman" w:cs="Times New Roman"/>
          <w:b/>
          <w:bCs/>
          <w:szCs w:val="21"/>
        </w:rPr>
        <w:t>Qin Mingqiang</w:t>
      </w:r>
      <w:r>
        <w:rPr>
          <w:rFonts w:ascii="Times New Roman" w:hAnsi="Times New Roman" w:cs="Times New Roman"/>
          <w:szCs w:val="21"/>
        </w:rPr>
        <w:t xml:space="preserve">; Li Jian; Wang Hua; Xu Dexiang*; </w:t>
      </w:r>
      <w:r>
        <w:rPr>
          <w:rFonts w:ascii="Times New Roman" w:hAnsi="Times New Roman" w:cs="Times New Roman"/>
          <w:b/>
          <w:bCs/>
          <w:szCs w:val="21"/>
        </w:rPr>
        <w:t>Wang</w:t>
      </w:r>
      <w:r>
        <w:rPr>
          <w:rFonts w:hint="eastAsia"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Jianqing*</w:t>
      </w:r>
      <w:r>
        <w:rPr>
          <w:rFonts w:hint="eastAsia" w:ascii="Times New Roman" w:hAnsi="Times New Roman" w:cs="Times New Roman"/>
          <w:b/>
          <w:bCs/>
          <w:szCs w:val="21"/>
        </w:rPr>
        <w:t>（王建青，通讯作者）</w:t>
      </w:r>
      <w:r>
        <w:rPr>
          <w:rFonts w:ascii="Times New Roman" w:hAnsi="Times New Roman" w:cs="Times New Roman"/>
          <w:szCs w:val="21"/>
        </w:rPr>
        <w:t>; Inositol-Requiring Enzyme 1 Alpha Endoribonuclease Specific Inhibitor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STF-083010 Alleviates Carbon Tetrachloride Induced Liver Injury and Liver Fibrosis in Mice,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Frontiers in Pharmacology, 2018, 9: 1344. IF=</w:t>
      </w:r>
      <w:r>
        <w:rPr>
          <w:rFonts w:hint="default" w:ascii="Times New Roman" w:hAnsi="Times New Roman" w:cs="Times New Roman"/>
          <w:szCs w:val="21"/>
          <w:lang w:val="en-US"/>
        </w:rPr>
        <w:t>5.810</w:t>
      </w:r>
    </w:p>
    <w:p>
      <w:pPr>
        <w:pStyle w:val="5"/>
        <w:numPr>
          <w:ilvl w:val="0"/>
          <w:numId w:val="5"/>
        </w:numPr>
        <w:spacing w:line="360" w:lineRule="auto"/>
        <w:ind w:firstLineChars="0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蒋慰赢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b/>
          <w:bCs/>
          <w:szCs w:val="21"/>
        </w:rPr>
        <w:t>秦明强</w:t>
      </w:r>
      <w:r>
        <w:rPr>
          <w:rFonts w:hint="eastAsia" w:ascii="Times New Roman" w:hAnsi="Times New Roman" w:cs="Times New Roman"/>
          <w:szCs w:val="21"/>
        </w:rPr>
        <w:t>，张程，</w:t>
      </w:r>
      <w:r>
        <w:rPr>
          <w:rFonts w:hint="eastAsia" w:ascii="Times New Roman" w:hAnsi="Times New Roman" w:cs="Times New Roman"/>
          <w:b/>
          <w:bCs/>
          <w:szCs w:val="21"/>
        </w:rPr>
        <w:t>屈明超</w:t>
      </w:r>
      <w:r>
        <w:rPr>
          <w:rFonts w:hint="eastAsia" w:ascii="Times New Roman" w:hAnsi="Times New Roman" w:cs="Times New Roman"/>
          <w:szCs w:val="21"/>
        </w:rPr>
        <w:t>，徐德祥，</w:t>
      </w:r>
      <w:r>
        <w:rPr>
          <w:rFonts w:hint="eastAsia" w:ascii="Times New Roman" w:hAnsi="Times New Roman" w:cs="Times New Roman"/>
          <w:b/>
          <w:bCs/>
          <w:szCs w:val="21"/>
        </w:rPr>
        <w:t>王建青*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Ferrostatin-1</w:t>
      </w:r>
      <w:r>
        <w:rPr>
          <w:rFonts w:hint="eastAsia" w:ascii="Times New Roman" w:hAnsi="Times New Roman" w:cs="Times New Roman"/>
          <w:szCs w:val="21"/>
        </w:rPr>
        <w:t>保护对乙酰氨基酚诱导的小鼠急性肝损伤[</w:t>
      </w:r>
      <w:r>
        <w:rPr>
          <w:rFonts w:ascii="Times New Roman" w:hAnsi="Times New Roman" w:cs="Times New Roman"/>
          <w:szCs w:val="21"/>
        </w:rPr>
        <w:t>J]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安徽医科大学学报,</w:t>
      </w:r>
      <w:r>
        <w:rPr>
          <w:rFonts w:ascii="Times New Roman" w:hAnsi="Times New Roman" w:cs="Times New Roman"/>
          <w:szCs w:val="21"/>
        </w:rPr>
        <w:t xml:space="preserve"> 2021, 56</w:t>
      </w:r>
      <w:r>
        <w:rPr>
          <w:rFonts w:hint="eastAsia"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10): 1584-1589.</w:t>
      </w:r>
    </w:p>
    <w:p>
      <w:pPr>
        <w:pStyle w:val="5"/>
        <w:numPr>
          <w:ilvl w:val="0"/>
          <w:numId w:val="5"/>
        </w:numPr>
        <w:spacing w:line="360" w:lineRule="auto"/>
        <w:ind w:firstLineChars="0"/>
        <w:rPr>
          <w:rFonts w:hint="eastAsia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/>
        </w:rPr>
        <w:t>Z</w:t>
      </w:r>
      <w:r>
        <w:rPr>
          <w:rFonts w:hint="eastAsia" w:ascii="Times New Roman" w:hAnsi="Times New Roman" w:cs="Times New Roman"/>
          <w:szCs w:val="21"/>
        </w:rPr>
        <w:t xml:space="preserve">hang C, Gan Y, Lv JW, </w:t>
      </w:r>
      <w:r>
        <w:rPr>
          <w:rFonts w:hint="eastAsia" w:ascii="Times New Roman" w:hAnsi="Times New Roman" w:cs="Times New Roman"/>
          <w:b/>
          <w:bCs/>
          <w:szCs w:val="21"/>
        </w:rPr>
        <w:t>Qin MQ</w:t>
      </w:r>
      <w:r>
        <w:rPr>
          <w:rFonts w:hint="eastAsia" w:ascii="Times New Roman" w:hAnsi="Times New Roman" w:cs="Times New Roman"/>
          <w:szCs w:val="21"/>
        </w:rPr>
        <w:t xml:space="preserve">, Hu WR, Liu ZB, Ma L, Song BD, Li J, Jiang WY, </w:t>
      </w:r>
      <w:r>
        <w:rPr>
          <w:rFonts w:hint="eastAsia" w:ascii="Times New Roman" w:hAnsi="Times New Roman" w:cs="Times New Roman"/>
          <w:b/>
          <w:bCs/>
          <w:szCs w:val="21"/>
        </w:rPr>
        <w:t>Wang JQ</w:t>
      </w:r>
      <w:r>
        <w:rPr>
          <w:rFonts w:hint="eastAsia" w:ascii="Times New Roman" w:hAnsi="Times New Roman" w:cs="Times New Roman"/>
          <w:szCs w:val="21"/>
        </w:rPr>
        <w:t>, Wang H, Xu DX</w:t>
      </w:r>
      <w:r>
        <w:rPr>
          <w:rFonts w:hint="default" w:ascii="Times New Roman" w:hAnsi="Times New Roman" w:cs="Times New Roman"/>
          <w:szCs w:val="21"/>
          <w:lang w:val="en-US"/>
        </w:rPr>
        <w:t>*</w:t>
      </w:r>
      <w:r>
        <w:rPr>
          <w:rFonts w:hint="eastAsia" w:ascii="Times New Roman" w:hAnsi="Times New Roman" w:cs="Times New Roman"/>
          <w:szCs w:val="21"/>
        </w:rPr>
        <w:t>. The protective effect of obeticholic acid on lipopolysaccharide-induced disorder of maternal bile acid metabolism in pregnant mice. Int Immunopharmacol. 2020;</w:t>
      </w:r>
      <w:r>
        <w:rPr>
          <w:rFonts w:hint="default" w:ascii="Times New Roman" w:hAnsi="Times New Roman" w:cs="Times New Roman"/>
          <w:szCs w:val="21"/>
          <w:lang w:val="en-US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83:</w:t>
      </w:r>
      <w:r>
        <w:rPr>
          <w:rFonts w:hint="default" w:ascii="Times New Roman" w:hAnsi="Times New Roman" w:cs="Times New Roman"/>
          <w:szCs w:val="21"/>
          <w:lang w:val="en-US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106442. </w:t>
      </w:r>
      <w:r>
        <w:rPr>
          <w:rFonts w:hint="default" w:ascii="Times New Roman" w:hAnsi="Times New Roman" w:cs="Times New Roman"/>
          <w:szCs w:val="21"/>
          <w:lang w:val="en-US"/>
        </w:rPr>
        <w:t>IF=4.932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（2）校级、省级、国家等荣誉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03" w:hanging="420" w:firstLineChars="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陈倩倩</w:t>
      </w:r>
      <w:r>
        <w:rPr>
          <w:rFonts w:hint="eastAsia" w:ascii="Times New Roman" w:hAnsi="Times New Roman" w:cs="Times New Roman"/>
          <w:szCs w:val="21"/>
        </w:rPr>
        <w:t>，2017-2018学年获得安徽医科大学“</w:t>
      </w:r>
      <w:bookmarkStart w:id="0" w:name="_GoBack"/>
      <w:bookmarkEnd w:id="0"/>
      <w:r>
        <w:rPr>
          <w:rFonts w:hint="eastAsia" w:ascii="Times New Roman" w:hAnsi="Times New Roman" w:cs="Times New Roman"/>
          <w:szCs w:val="21"/>
        </w:rPr>
        <w:t>校研究生奖学金”；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03" w:hanging="420" w:firstLineChars="0"/>
        <w:textAlignment w:val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陈倩倩</w:t>
      </w:r>
      <w:r>
        <w:rPr>
          <w:rFonts w:hint="eastAsia" w:ascii="Times New Roman" w:hAnsi="Times New Roman" w:cs="Times New Roman"/>
          <w:szCs w:val="21"/>
        </w:rPr>
        <w:t>，2017-2018学年获得安徽医科大学“三好研究生”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03" w:hanging="420" w:firstLineChars="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陈倩倩</w:t>
      </w:r>
      <w:r>
        <w:rPr>
          <w:rFonts w:ascii="Times New Roman" w:hAnsi="Times New Roman" w:cs="Times New Roman"/>
          <w:b/>
          <w:bCs/>
          <w:szCs w:val="21"/>
        </w:rPr>
        <w:t>(1/2)</w:t>
      </w:r>
      <w:r>
        <w:rPr>
          <w:rFonts w:ascii="Times New Roman" w:hAnsi="Times New Roman" w:cs="Times New Roman"/>
          <w:szCs w:val="21"/>
        </w:rPr>
        <w:t>; Effects of IRE1α Endoribonuclease specific inhibitor STF-083010 on CCl4-induced liver fibrosis in mice and its partial mechanism; 安徽省药学会药物代谢专业委员会，安徽省药学会药物代谢专业委员会二届二次学术年会优秀论文，特等奖，最佳组织奖，2018. (</w:t>
      </w:r>
      <w:r>
        <w:rPr>
          <w:rFonts w:ascii="Times New Roman" w:hAnsi="Times New Roman" w:cs="Times New Roman"/>
          <w:b/>
          <w:bCs/>
          <w:szCs w:val="21"/>
        </w:rPr>
        <w:t>陈倩倩</w:t>
      </w:r>
      <w:r>
        <w:rPr>
          <w:rFonts w:ascii="Times New Roman" w:hAnsi="Times New Roman" w:cs="Times New Roman"/>
          <w:szCs w:val="21"/>
        </w:rPr>
        <w:t>; 王建青(通讯作者))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03" w:hanging="420" w:firstLineChars="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秦明强</w:t>
      </w:r>
      <w:r>
        <w:rPr>
          <w:rFonts w:ascii="Times New Roman" w:hAnsi="Times New Roman" w:cs="Times New Roman"/>
          <w:szCs w:val="21"/>
        </w:rPr>
        <w:t xml:space="preserve"> (1/2); Ferrostatin-1 protects acetaminophen-induced acute liver injury in mice by mitigating ferroptosis associated with HIF-1α signaling; 安徽省药学会药物代谢专业委员会，安徽省药学会药物代谢专业委员会二届三次学术年会优秀论文，特等奖，最佳组织奖，2019.(</w:t>
      </w:r>
      <w:r>
        <w:rPr>
          <w:rFonts w:ascii="Times New Roman" w:hAnsi="Times New Roman" w:cs="Times New Roman"/>
          <w:b/>
          <w:bCs/>
          <w:szCs w:val="21"/>
        </w:rPr>
        <w:t>秦明强</w:t>
      </w:r>
      <w:r>
        <w:rPr>
          <w:rFonts w:ascii="Times New Roman" w:hAnsi="Times New Roman" w:cs="Times New Roman"/>
          <w:szCs w:val="21"/>
        </w:rPr>
        <w:t>; 王建青(通讯作者))</w:t>
      </w: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/>
          <w:szCs w:val="21"/>
        </w:rPr>
      </w:pPr>
    </w:p>
    <w:p>
      <w:pPr>
        <w:rPr>
          <w:rFonts w:ascii="Times New Roman" w:hAnsi="Times New Roman" w:eastAsia="黑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0F28B"/>
    <w:multiLevelType w:val="singleLevel"/>
    <w:tmpl w:val="8D90F28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63068FC"/>
    <w:multiLevelType w:val="multilevel"/>
    <w:tmpl w:val="163068FC"/>
    <w:lvl w:ilvl="0" w:tentative="0">
      <w:start w:val="1"/>
      <w:numFmt w:val="decimal"/>
      <w:lvlText w:val="[%1]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8B455AB"/>
    <w:multiLevelType w:val="multilevel"/>
    <w:tmpl w:val="18B455AB"/>
    <w:lvl w:ilvl="0" w:tentative="0">
      <w:start w:val="1"/>
      <w:numFmt w:val="decimal"/>
      <w:lvlText w:val="[%1]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3">
    <w:nsid w:val="2D41FFA3"/>
    <w:multiLevelType w:val="singleLevel"/>
    <w:tmpl w:val="2D41FFA3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07E454D"/>
    <w:multiLevelType w:val="multilevel"/>
    <w:tmpl w:val="507E454D"/>
    <w:lvl w:ilvl="0" w:tentative="0">
      <w:start w:val="1"/>
      <w:numFmt w:val="decimal"/>
      <w:lvlText w:val="%1)"/>
      <w:lvlJc w:val="left"/>
      <w:pPr>
        <w:ind w:left="703" w:hanging="420"/>
      </w:pPr>
    </w:lvl>
    <w:lvl w:ilvl="1" w:tentative="0">
      <w:start w:val="1"/>
      <w:numFmt w:val="lowerLetter"/>
      <w:lvlText w:val="%2)"/>
      <w:lvlJc w:val="left"/>
      <w:pPr>
        <w:ind w:left="1123" w:hanging="420"/>
      </w:pPr>
    </w:lvl>
    <w:lvl w:ilvl="2" w:tentative="0">
      <w:start w:val="1"/>
      <w:numFmt w:val="lowerRoman"/>
      <w:lvlText w:val="%3."/>
      <w:lvlJc w:val="right"/>
      <w:pPr>
        <w:ind w:left="1543" w:hanging="420"/>
      </w:pPr>
    </w:lvl>
    <w:lvl w:ilvl="3" w:tentative="0">
      <w:start w:val="1"/>
      <w:numFmt w:val="decimal"/>
      <w:lvlText w:val="%4."/>
      <w:lvlJc w:val="left"/>
      <w:pPr>
        <w:ind w:left="1963" w:hanging="420"/>
      </w:pPr>
    </w:lvl>
    <w:lvl w:ilvl="4" w:tentative="0">
      <w:start w:val="1"/>
      <w:numFmt w:val="lowerLetter"/>
      <w:lvlText w:val="%5)"/>
      <w:lvlJc w:val="left"/>
      <w:pPr>
        <w:ind w:left="2383" w:hanging="420"/>
      </w:pPr>
    </w:lvl>
    <w:lvl w:ilvl="5" w:tentative="0">
      <w:start w:val="1"/>
      <w:numFmt w:val="lowerRoman"/>
      <w:lvlText w:val="%6."/>
      <w:lvlJc w:val="right"/>
      <w:pPr>
        <w:ind w:left="2803" w:hanging="420"/>
      </w:pPr>
    </w:lvl>
    <w:lvl w:ilvl="6" w:tentative="0">
      <w:start w:val="1"/>
      <w:numFmt w:val="decimal"/>
      <w:lvlText w:val="%7."/>
      <w:lvlJc w:val="left"/>
      <w:pPr>
        <w:ind w:left="3223" w:hanging="420"/>
      </w:pPr>
    </w:lvl>
    <w:lvl w:ilvl="7" w:tentative="0">
      <w:start w:val="1"/>
      <w:numFmt w:val="lowerLetter"/>
      <w:lvlText w:val="%8)"/>
      <w:lvlJc w:val="left"/>
      <w:pPr>
        <w:ind w:left="3643" w:hanging="420"/>
      </w:pPr>
    </w:lvl>
    <w:lvl w:ilvl="8" w:tentative="0">
      <w:start w:val="1"/>
      <w:numFmt w:val="lowerRoman"/>
      <w:lvlText w:val="%9."/>
      <w:lvlJc w:val="right"/>
      <w:pPr>
        <w:ind w:left="4063" w:hanging="420"/>
      </w:pPr>
    </w:lvl>
  </w:abstractNum>
  <w:abstractNum w:abstractNumId="5">
    <w:nsid w:val="6C507545"/>
    <w:multiLevelType w:val="multilevel"/>
    <w:tmpl w:val="6C507545"/>
    <w:lvl w:ilvl="0" w:tentative="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123" w:hanging="420"/>
      </w:pPr>
    </w:lvl>
    <w:lvl w:ilvl="2" w:tentative="0">
      <w:start w:val="1"/>
      <w:numFmt w:val="lowerRoman"/>
      <w:lvlText w:val="%3."/>
      <w:lvlJc w:val="right"/>
      <w:pPr>
        <w:ind w:left="1543" w:hanging="420"/>
      </w:pPr>
    </w:lvl>
    <w:lvl w:ilvl="3" w:tentative="0">
      <w:start w:val="1"/>
      <w:numFmt w:val="decimal"/>
      <w:lvlText w:val="%4."/>
      <w:lvlJc w:val="left"/>
      <w:pPr>
        <w:ind w:left="1963" w:hanging="420"/>
      </w:pPr>
    </w:lvl>
    <w:lvl w:ilvl="4" w:tentative="0">
      <w:start w:val="1"/>
      <w:numFmt w:val="lowerLetter"/>
      <w:lvlText w:val="%5)"/>
      <w:lvlJc w:val="left"/>
      <w:pPr>
        <w:ind w:left="2383" w:hanging="420"/>
      </w:pPr>
    </w:lvl>
    <w:lvl w:ilvl="5" w:tentative="0">
      <w:start w:val="1"/>
      <w:numFmt w:val="lowerRoman"/>
      <w:lvlText w:val="%6."/>
      <w:lvlJc w:val="right"/>
      <w:pPr>
        <w:ind w:left="2803" w:hanging="420"/>
      </w:pPr>
    </w:lvl>
    <w:lvl w:ilvl="6" w:tentative="0">
      <w:start w:val="1"/>
      <w:numFmt w:val="decimal"/>
      <w:lvlText w:val="%7."/>
      <w:lvlJc w:val="left"/>
      <w:pPr>
        <w:ind w:left="3223" w:hanging="420"/>
      </w:pPr>
    </w:lvl>
    <w:lvl w:ilvl="7" w:tentative="0">
      <w:start w:val="1"/>
      <w:numFmt w:val="lowerLetter"/>
      <w:lvlText w:val="%8)"/>
      <w:lvlJc w:val="left"/>
      <w:pPr>
        <w:ind w:left="3643" w:hanging="420"/>
      </w:pPr>
    </w:lvl>
    <w:lvl w:ilvl="8" w:tentative="0">
      <w:start w:val="1"/>
      <w:numFmt w:val="lowerRoman"/>
      <w:lvlText w:val="%9."/>
      <w:lvlJc w:val="right"/>
      <w:pPr>
        <w:ind w:left="4063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Q0MDA2tjA2MjO3NDdV0lEKTi0uzszPAykwqgUAzV6skCwAAAA="/>
  </w:docVars>
  <w:rsids>
    <w:rsidRoot w:val="00172A27"/>
    <w:rsid w:val="000336CC"/>
    <w:rsid w:val="00172A27"/>
    <w:rsid w:val="002F49FD"/>
    <w:rsid w:val="0069187A"/>
    <w:rsid w:val="008D64D8"/>
    <w:rsid w:val="00DE721E"/>
    <w:rsid w:val="19FF4DAD"/>
    <w:rsid w:val="330C1666"/>
    <w:rsid w:val="7260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439</Words>
  <Characters>2507</Characters>
  <Lines>20</Lines>
  <Paragraphs>5</Paragraphs>
  <TotalTime>39</TotalTime>
  <ScaleCrop>false</ScaleCrop>
  <LinksUpToDate>false</LinksUpToDate>
  <CharactersWithSpaces>2941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2021-10-28T12:56:00Z</dcterms:created>
  <dc:creator>yujun</dc:creator>
  <cp:lastModifiedBy>射手座</cp:lastModifiedBy>
  <dcterms:modified xsi:type="dcterms:W3CDTF">2021-10-29T00:41:44Z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2A75D596AF7E4E1FB3A4B363BB96A08B</vt:lpwstr>
  </property>
</Properties>
</file>